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6"/>
          <w:szCs w:val="36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县级相关单位名单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（共45个）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发改局、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人社局、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体育局、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工信局、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教育局、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卫计局、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民政局、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食药局、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住建局、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公安局、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交通局、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运管局、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旅游局、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工商局、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宗教局、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文广局、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档案局、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安监局、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质监局、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商务局、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地震局、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司法局、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环保局、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农牧局、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林业局、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粮食局、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农机局、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水电局、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扶贫办、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统计局、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国土局、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审计局、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物价局、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城管局、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外侨办、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消防队、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烟草局、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国税局、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气象局、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财政局、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园林局、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4"/>
          <w:szCs w:val="34"/>
          <w:lang w:val="en-US" w:eastAsia="zh-CN" w:bidi="ar-SA"/>
        </w:rPr>
        <w:t>规划局、县地税局、县法制办、县供销社。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754F0"/>
    <w:rsid w:val="3C633B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2018-04-16T01:52:00Z</dcterms:created>
  <dc:creator>﹏尛不正经的男人＂</dc:creator>
  <cp:lastModifiedBy>﹏尛不正经的男人＂</cp:lastModifiedBy>
  <dcterms:modified xsi:type="dcterms:W3CDTF">2018-04-16T02:00:29Z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